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0"/>
        <w:spacing w:after="0" w:lineRule="auto" w:line="240.0"/>
        <w:rPr>
          <w:rFonts w:hAnsi="Times New Roman" w:ascii="Times New Roman"/>
          <w:sz w:val="24"/>
        </w:rPr>
      </w:pPr>
      <w:r>
        <w:rPr>
          <w:rFonts w:hAnsi="Times New Roman" w:ascii="Times New Roman"/>
          <w:sz w:val="24"/>
        </w:rPr>
        <w:t xml:space="preserve">Уровень профессионального развития педагога </w:t>
      </w:r>
      <w:r>
        <w:rPr>
          <w:rFonts w:hAnsi="Times New Roman" w:ascii="Times New Roman"/>
          <w:sz w:val="24"/>
          <w:b w:val="1"/>
        </w:rPr>
        <w:t xml:space="preserve">Продвинутый педагог, Педагог-методист</w:t>
      </w: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108"/>
          <w:right w:type="dxa" w:w="108"/>
          <w:top w:type="dxa" w:w="0"/>
          <w:bottom w:type="dxa" w:w="0"/>
        </w:tblCellMar>
        <w:tblW w:type="dxa" w:w="14850"/>
        <w:tblLayout w:type="autofit"/>
        <w:tblInd w:type="dxa" w:w="-108"/>
      </w:tblPr>
      <w:tblGrid>
        <w:gridCol w:w="1687"/>
        <w:gridCol w:w="2249"/>
        <w:gridCol w:w="8221"/>
        <w:gridCol w:w="2693"/>
      </w:tblGrid>
      <w:tr>
        <w:trPr>
          <w:tblCellMar/>
        </w:trPr>
        <w:tblPrEx>
          <w:tblCellMar/>
        </w:tblPrEx>
        <w:tc>
          <w:tcPr>
            <w:tcW w:type="dxa" w:w="1687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Уровни</w:t>
            </w:r>
          </w:p>
        </w:tc>
        <w:tc>
          <w:tcPr>
            <w:tcW w:type="dxa" w:w="2249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Компетенции</w:t>
            </w:r>
          </w:p>
        </w:tc>
        <w:tc>
          <w:tcPr>
            <w:tcW w:type="dxa" w:w="8221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Трудовые действия</w:t>
            </w:r>
          </w:p>
        </w:tc>
        <w:tc>
          <w:tcPr>
            <w:tcW w:type="dxa" w:w="2693"/>
          </w:tcPr>
          <w:p>
            <w:pPr>
              <w:jc w:val="center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инструментарий</w:t>
            </w:r>
          </w:p>
        </w:tc>
      </w:tr>
      <w:tr>
        <w:trPr>
          <w:tblCellMar/>
        </w:trPr>
        <w:tblPrEx>
          <w:tblCellMar/>
        </w:tblPrEx>
        <w:tc>
          <w:tcPr>
            <w:vMerge w:val="restart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Продвинутый педагог</w:t>
            </w: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Осуществление социально-профессионального саморазвития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Владение методами самопознания: самонаблюдение, самодиагностика, рефлексия. Использование методов целеполагания личности: самоанализ, самооценка, самокритика. Применение в практике методов самообучения, самообразования. </w:t>
            </w:r>
          </w:p>
        </w:tc>
        <w:tc>
          <w:tcPr>
            <w:vMerge w:val="restart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Обобщение и диссеминация  опыта (муниципальный, региональный уровни)</w:t>
            </w: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Проектирование профессиональной карьеры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Профессиональный рост на рабочем месте в связи с постоянным усовершенствованием оборудования и обновлением, расширением ассортимента продукции и услуг: повышение образовательного ценза, получение смежных профессий, путем самообразования, в системе дополнительного образования, получения дополнительных квалификаций. 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Проектирование объекта педагогической деятельности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Разработка рабочих программ учебных дисциплин (модулей) по своей дисциплине, внесение  предложений по совершенствованию образовательного процесса в образовательном учреждении.  Моделирование, проектирование и конструирование объекта педагогической деятельности.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Реализация педагогического процесса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Реализация в полном объеме в соответствии с учебным планом и графиком учебного процесса в соответствии с требованиями федеральных государственных образовательных стандартов, а также за качество подготовки выпускников, поддерживает учебную дисциплину, режим посещения занятий, уважая человеческое достоинство, честь и репутацию обучающихся. Обеспечение достижения обучающимися уровней образования (образовательных цензов). 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Оценка эффективности  педагогической деятельности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Осуществление контрольно-оценочной деятельности в образовательном процессе с использованием современных способов оценивания, оценка эффективности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интереса. 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Создание условий для саморазвития обучающихся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 и контроль самостоятельной работы, индивидуальных образовательных траекторий (программ), содействие развитию личности, талантов и способностей обучающихся, формированию их общей культуры, расширению социальной сферы. Организация  самоуправления в группе. 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Имиджирование образовательного учреждения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Выработка оптимальной стратегии,  уровня, содержания, методов, средств и форм контактов с основными социальными партнерами ОУ.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vMerge w:val="restart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>Педагог-методист</w:t>
            </w: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Осуществление социально-профессионального саморазвития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 самоуправления: саморегуляция, самоустановка, самоприказ. Способность к коррекции профессиональных деформаций, к самопрофилактике.</w:t>
            </w:r>
          </w:p>
        </w:tc>
        <w:tc>
          <w:tcPr>
            <w:vMerge w:val="restart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Разработка методических рекомендаций, авторских программ, пособий, сборников и т.д.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Авторские курсы</w:t>
            </w:r>
          </w:p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Наставничество </w:t>
            </w: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Проектирование профессиональной карьеры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Оценивание собственных возможностей, способностей с точки зрения профессиональных притязаний, профессиональной пригодности и потребностей рынка труда. Освоение новых сфер профессиональной деятельности.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Разработка методического сопровождения педагогической деятельности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Разработка материалов, обеспечивающих воспитание и качество подготовки обучающихся, с использованием наиболее эффективных форм, методов и средств обучения, новых образовательных технологий, включая информационные (способ: адаптация и коррекция методического обеспечения с учетом специфики контингента, содержания дисциплины, мультипликация учебно-наглядных средств). Владение современными образовательными технологиями и методиками и эффективно применяют их в практической профессиональной деятельности (способ: составление, комплектование методического обеспечения, комбинаторика). Владение современными образовательными технологиями и методиками и эффективно применяют их в практической профессиональной деятельности</w:t>
            </w:r>
          </w:p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(способ: разработка новых учебно-наглядных средств и технологий).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Реализация педагогического процесса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Создание условий для усвоения педагогами компетенций (обучение): постановка целей учения, организация передачи информации, использование адекватных методов педагогических технологий, организация обратной связи, подведение итогов, организация взаимодействий и их координация. Создание условий для развития профессионально-значимых качеств.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Оценка эффективности  педагогической деятельности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Организация обратной связи в педагогическом процессе. Экспертиза результата образования. Определение степени коррекции деятельности. Организация независимой экспертизы качества образования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Создание условий для саморазвития педагогов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Обучение педагогов методам  самонаблюдения, самодиагностики, рефлексии,  самоанализу, самооценке, самокритике, самоорганизации, саморегуляции, построению профессиональных планов  и планов карьерного роста, целеполаганию, коррекции профессиональных деформаций. Проектирование образовательной среды, способствующей проявлению  самодеятельности,  самообучению, самообразованию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  <w:tr>
        <w:trPr>
          <w:tblCellMar/>
        </w:trPr>
        <w:tblPrEx>
          <w:tblCellMar/>
        </w:tblPrEx>
        <w:tc>
          <w:tcPr>
            <w:vMerge w:val="continue"/>
            <w:tcW w:type="dxa" w:w="1687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  <w:tc>
          <w:tcPr>
            <w:tcW w:type="dxa" w:w="2249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Имиджирование образовательного учреждения</w:t>
            </w:r>
          </w:p>
        </w:tc>
        <w:tc>
          <w:tcPr>
            <w:tcW w:type="dxa" w:w="8221"/>
          </w:tcPr>
          <w:p>
            <w:pPr>
              <w:jc w:val="both"/>
              <w:pStyle w:val="0"/>
              <w:spacing w:after="0" w:lineRule="auto" w:line="240.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 Проектирование  форм имиджирования.  Установление и поддержание контактов в рамках социального партнерства. Организация имиджевых мероприятий в общеобразовательных учреждениях и на предприятиях.</w:t>
            </w:r>
            <w:r>
              <w:rPr>
                <w:rFonts w:hAnsi="Times New Roman" w:ascii="Times New Roman"/>
                <w:color w:val="000000"/>
              </w:rPr>
              <w:t xml:space="preserve"> Проектирование  и организация форм имиджирования.</w:t>
            </w:r>
          </w:p>
        </w:tc>
        <w:tc>
          <w:tcPr>
            <w:vMerge w:val="continue"/>
            <w:tcW w:type="dxa" w:w="2693"/>
          </w:tcPr>
          <w:p>
            <w:pPr>
              <w:pStyle w:val="0"/>
              <w:spacing w:after="0" w:lineRule="auto" w:line="240.0"/>
              <w:rPr>
                <w:rFonts w:hAnsi="Times New Roman" w:ascii="Times New Roman"/>
              </w:rPr>
            </w:pPr>
          </w:p>
        </w:tc>
      </w:tr>
    </w:tbl>
    <w:p>
      <w:pPr>
        <w:pStyle w:val="0"/>
      </w:pPr>
    </w:p>
    <w:sectPr>
      <w:pgSz w:w="16838" w:h="11906"/>
      <w:pgMar w:top="851" w:bottom="850" w:left="1134" w:right="1134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pPr>
      <w:spacing w:after="200" w:lineRule="auto" w:line="276.0"/>
    </w:pPr>
    <w:rPr>
      <w:sz w:val="22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продвинутый педагог, педагог-методист.doc</dc:title>
</cp:coreProperties>
</file>