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A278D1" w:rsidRPr="00A278D1" w:rsidTr="00A278D1">
        <w:trPr>
          <w:trHeight w:val="15"/>
          <w:tblCellSpacing w:w="15" w:type="dxa"/>
          <w:jc w:val="center"/>
        </w:trPr>
        <w:tc>
          <w:tcPr>
            <w:tcW w:w="0" w:type="auto"/>
            <w:hideMark/>
          </w:tcPr>
          <w:p w:rsidR="00A278D1" w:rsidRPr="00A278D1" w:rsidRDefault="00A278D1" w:rsidP="00A278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</w:pPr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 xml:space="preserve">Программа "Одаренный ребенок" была создана коллективом авторов Учебного центра </w:t>
            </w:r>
            <w:proofErr w:type="spellStart"/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>Венгера</w:t>
            </w:r>
            <w:proofErr w:type="spellEnd"/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 xml:space="preserve"> в 1995 году. Она представляет собой уровневый вариант программы "Развитие" и предназначена для образовательной работы с группой умственно одаренных детей 5 - 7 лет. Использование программы требует от воспитателя не только общей квалификации, но и знания психологии одаренных детей.</w:t>
            </w:r>
          </w:p>
          <w:p w:rsidR="00A278D1" w:rsidRPr="00A278D1" w:rsidRDefault="00A278D1" w:rsidP="00A278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</w:pPr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 xml:space="preserve">Начало обучения с пятилетнего возраста обусловлено тем, что выявление умственной одаренности в более раннем возрасте представляет значительные трудности. Умственно одаренный ребенок дошкольного возраста отличается от своих сверстников более высоким уровнем </w:t>
            </w:r>
            <w:proofErr w:type="spellStart"/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>обучаемости</w:t>
            </w:r>
            <w:proofErr w:type="spellEnd"/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>, большими возможностями усвоения нового. Это можно использовать по-разному.</w:t>
            </w:r>
          </w:p>
          <w:p w:rsidR="00A278D1" w:rsidRPr="00A278D1" w:rsidRDefault="00A278D1" w:rsidP="00A278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</w:pPr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>Самый простой путь - попытаться дать такому ребенку как можно больше знаний по программе начальной школы (например, грамота, математика, иностранный язык). Но, как показывают исследования, в большинстве случаев этот путь приведет только к ускорению умственного развития: ребенок, в пятилетнем возрасте освоивший азы школьной премудрости (а это для одаренного ребенка не так уж трудно), сможет раньше поступить в школу и вполне вероятно, раньше ее окончить, но и только.</w:t>
            </w:r>
          </w:p>
          <w:p w:rsidR="00A278D1" w:rsidRPr="00A278D1" w:rsidRDefault="00A278D1" w:rsidP="00A278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</w:pPr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>Другой путь - не дать одаренности угаснуть, способствовать ее дальнейшему развитию. При правильном отборе в группу одаренных попадут дети с ярко выраженной познавательной направленностью и высоким уровнем развития умственных способностей. Но это способности, характерные именно для дошкольного детства, - они проявляются главным образом в области образных форм познания мира - наглядно-образного мышления и воображения. Поэтому основная задача образовательной работы состоит в том, чтобы обеспечить совершенствование этих способностей. Что касается познавательной направленности, то ее сохранение и развитие обеспечено насыщенностью программы познавательными задачами и не требует каких-либо специальных воспитательных воздействий.</w:t>
            </w:r>
          </w:p>
          <w:p w:rsidR="00A278D1" w:rsidRPr="00A278D1" w:rsidRDefault="00A278D1" w:rsidP="00A278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</w:pPr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 xml:space="preserve">Основное отличие предлагаемой программы от использовавшихся раньше программ обучения в детском саду состоит в переносе основного внимания с содержания обучения на его средства. Содержание - это знания, конкретные навыки и умения, усваиваемые на занятиях разного вида или в свободной деятельности, но для развития умственных способностей важны не столько сами по себе эти знания и навыки (каковы бы </w:t>
            </w:r>
            <w:proofErr w:type="gramStart"/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>они</w:t>
            </w:r>
            <w:proofErr w:type="gramEnd"/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 xml:space="preserve"> ни были), сколько то, каким образом они преподносятся детям и как ими усваиваются. В дошкольном обучении стало уже общепризнанным, что любые знания и навыки должны даваться детям путем организации действий, направленных на их усвоение. </w:t>
            </w:r>
            <w:proofErr w:type="gramStart"/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>Однако до сих пор недостаточно учитывалось то, что действия, которые выполняет ребенок в ходе обучения, с одной стороны, обеспечивают усвоение предлагаемого содержания, а с другой - развивают умственные способности, и внимание составителей программ и педагогов-практиков было сосредоточено в основном на первой стороне: именно с этих позиций подбирались виды действий, подходящие для каждого типа содержаний.</w:t>
            </w:r>
            <w:proofErr w:type="gramEnd"/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 xml:space="preserve"> Развитие же умственных способностей хотя и происходило, конечно, и при этих условиях, но находилось вне поля зрения воспитателей, выступало как побочный результат обучения. И это неизбежно вело к тому, что в полной мере не использовались возможности развития умственных способностей, имеющихся у всех детей, но особенно значительных у детей одаренных.</w:t>
            </w:r>
          </w:p>
          <w:p w:rsidR="00A278D1" w:rsidRPr="00A278D1" w:rsidRDefault="00A278D1" w:rsidP="00A278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</w:pPr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>Задача, стоявшая перед авторами настоящей программы, состояла в том, чтобы ввести в дошкольное обучение такие действия детей, которые в максимальной степени способствуют развитию их умственных способностей. Специальные психологические исследования показали, что таковыми являются действия по построению и использованию наглядных моделей, т. е. таких видов изображения предметов, явлений, событий, в которых выделены и представлены в обобщенном и схематизированном виде основные отношения их компонентов, обозначенных при помощи условных заместителей.</w:t>
            </w:r>
          </w:p>
          <w:p w:rsidR="00A278D1" w:rsidRPr="00A278D1" w:rsidRDefault="00A278D1" w:rsidP="00A278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</w:pPr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>Наглядные модели и без специального вмешательства взрослых создаются детьми в разных видах деятельности: рисунки, аппликации, конструкции всегда моделируют действительность, передавая только общее строение предметов или ситуаций, компоненты которых обозначаются линиями, деталями строительного материала, геометрическими фигурами; моделирует действительность и сюжетно-ролевая игра, в которой дети условно обозначают других людей при помощи взятых на себя ролей и передают отношения между ними (мама - дочка, продавец - покупатель и т. п.). Однако, строя такие присущие детским видам деятельности наглядные модели, дошкольники обычно не выделяют их соотношения с изображаемой действительностью, что уменьшает возможности развития умственных способностей.</w:t>
            </w:r>
          </w:p>
          <w:p w:rsidR="00A278D1" w:rsidRPr="00A278D1" w:rsidRDefault="00A278D1" w:rsidP="00A278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</w:pPr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lastRenderedPageBreak/>
              <w:t>Положение существенно меняется, если наглядные модели становятся средством обучения, т.е. их построение и использование осуществляется детьми сознательно под руководством взрослых и направлено на решение умственных задач, связанных с усвоением определенных знаний. В этих условиях максимально реализуются потенциальные возможности развития способностей: от построения и использования реальных (графических, предметных, двигательных) моделей дети постепенно переходят к их построению и использованию "в уме". В результате средства обучения превращаются в средства собственного мышления: построения замыслов, планирования действий, решения различных умственных задач. А это и есть развитие умственных способностей.</w:t>
            </w:r>
          </w:p>
          <w:p w:rsidR="00A278D1" w:rsidRPr="00A278D1" w:rsidRDefault="00A278D1" w:rsidP="00A278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</w:pPr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>В подготовительной к школе группе овладение наглядным моделированием включает в себя несколько линий.</w:t>
            </w:r>
          </w:p>
          <w:p w:rsidR="00A278D1" w:rsidRPr="00A278D1" w:rsidRDefault="00A278D1" w:rsidP="00A278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</w:pPr>
            <w:r w:rsidRPr="00A278D1">
              <w:rPr>
                <w:rFonts w:ascii="Verdana" w:eastAsia="Times New Roman" w:hAnsi="Verdana" w:cs="Times New Roman"/>
                <w:i/>
                <w:iCs/>
                <w:color w:val="3B4F5E"/>
                <w:sz w:val="20"/>
              </w:rPr>
              <w:t>Первая линия</w:t>
            </w:r>
            <w:r w:rsidRPr="00A278D1">
              <w:rPr>
                <w:rFonts w:ascii="Verdana" w:eastAsia="Times New Roman" w:hAnsi="Verdana" w:cs="Times New Roman"/>
                <w:color w:val="3B4F5E"/>
                <w:sz w:val="20"/>
              </w:rPr>
              <w:t> </w:t>
            </w:r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>- это расширение диапазона моделируемых отношений, начатое в старшей группе. Наглядные модели, используемые на занятиях, отображают пространственные, временные, логические и другие отношения.</w:t>
            </w:r>
          </w:p>
          <w:p w:rsidR="00A278D1" w:rsidRPr="00A278D1" w:rsidRDefault="00A278D1" w:rsidP="00A278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</w:pPr>
            <w:r w:rsidRPr="00A278D1">
              <w:rPr>
                <w:rFonts w:ascii="Verdana" w:eastAsia="Times New Roman" w:hAnsi="Verdana" w:cs="Times New Roman"/>
                <w:i/>
                <w:iCs/>
                <w:color w:val="3B4F5E"/>
                <w:sz w:val="20"/>
              </w:rPr>
              <w:t>Вторая линия</w:t>
            </w:r>
            <w:r w:rsidRPr="00A278D1">
              <w:rPr>
                <w:rFonts w:ascii="Verdana" w:eastAsia="Times New Roman" w:hAnsi="Verdana" w:cs="Times New Roman"/>
                <w:color w:val="3B4F5E"/>
                <w:sz w:val="20"/>
              </w:rPr>
              <w:t> </w:t>
            </w:r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>- развитие степени обобщенности моделируемых отношений внутри каждого их типа. В подготовительной группе дети овладевают моделями, имеющими обобщенный смысл и отображающими не единичные ситуации, а существенные черты многих объектов и ситуаций (например, круги Эйлера на занятиях по логике моделируют отношения между самыми различными предметами).</w:t>
            </w:r>
          </w:p>
          <w:p w:rsidR="00A278D1" w:rsidRPr="00A278D1" w:rsidRDefault="00A278D1" w:rsidP="00A278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</w:pPr>
            <w:r w:rsidRPr="00A278D1">
              <w:rPr>
                <w:rFonts w:ascii="Verdana" w:eastAsia="Times New Roman" w:hAnsi="Verdana" w:cs="Times New Roman"/>
                <w:i/>
                <w:iCs/>
                <w:color w:val="3B4F5E"/>
                <w:sz w:val="20"/>
              </w:rPr>
              <w:t>Третья линия</w:t>
            </w:r>
            <w:r w:rsidRPr="00A278D1">
              <w:rPr>
                <w:rFonts w:ascii="Verdana" w:eastAsia="Times New Roman" w:hAnsi="Verdana" w:cs="Times New Roman"/>
                <w:color w:val="3B4F5E"/>
                <w:sz w:val="20"/>
              </w:rPr>
              <w:t> </w:t>
            </w:r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 xml:space="preserve">- изменение самих наглядных моделей, с которыми действуют дети. В подготовительной группе дети уже свободно переходят от моделей, имеющих </w:t>
            </w:r>
            <w:proofErr w:type="spellStart"/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>иконический</w:t>
            </w:r>
            <w:proofErr w:type="spellEnd"/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 xml:space="preserve"> характер, т.е. сохраняющих известное внешнее сходство с моделируемыми объектами, к моделям, представляющим собой условные изображения отношений (числовая ось, модель звукового состава слова и т. п.).</w:t>
            </w:r>
          </w:p>
          <w:p w:rsidR="00A278D1" w:rsidRPr="00A278D1" w:rsidRDefault="00A278D1" w:rsidP="00A278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</w:pPr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 xml:space="preserve">В подготовительной группе происходит переход действий моделирования во внутренний план. Овладение построением моделей включает два последовательных этапа: построение модели по наличной ситуации и по собственному замыслу (в соответствии с требованиями задачи). В последнем случае моделирование выступает в функции планирования деятельности, а возможность построения модели и ее особенности свидетельствуют о степени </w:t>
            </w:r>
            <w:proofErr w:type="spellStart"/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>сформированности</w:t>
            </w:r>
            <w:proofErr w:type="spellEnd"/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 xml:space="preserve"> внутренних, идеальных форм моделирования. Они же и представляют собой ядро умственных способностей ребенка.</w:t>
            </w:r>
          </w:p>
          <w:p w:rsidR="00A278D1" w:rsidRPr="00A278D1" w:rsidRDefault="00A278D1" w:rsidP="00A278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</w:pPr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>В подготовительной к школе группе продолжается усвоение различных форм символизации, которое является основанием для развития творческих способностей. Во многих разделах программы детям прямо предлагаются задачи, направленные на развитие воображения.</w:t>
            </w:r>
          </w:p>
          <w:p w:rsidR="00A278D1" w:rsidRPr="00A278D1" w:rsidRDefault="00A278D1" w:rsidP="00A278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</w:pPr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>Центральную задачу развития художественных способностей авторы видят в развитии эмоциональной отзывчивости на средства художественной выразительности, а также в использовании этих средств детьми при передаче собственного отношения к действительности.</w:t>
            </w:r>
          </w:p>
          <w:p w:rsidR="00A278D1" w:rsidRPr="00A278D1" w:rsidRDefault="00A278D1" w:rsidP="00A278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</w:pPr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 xml:space="preserve">Программа охватывает только образовательную работу с одаренными детьми, т.е. их обучение на занятиях, хотя многие виды предлагаемых заданий могут быть включены в свободную деятельность детей, при этом содержание занятий может быть </w:t>
            </w:r>
            <w:proofErr w:type="gramStart"/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>существенно изменено</w:t>
            </w:r>
            <w:proofErr w:type="gramEnd"/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 xml:space="preserve"> или заменено новым (в соответствии с задачами развития умственных способностей).</w:t>
            </w:r>
          </w:p>
          <w:p w:rsidR="00A278D1" w:rsidRPr="00A278D1" w:rsidRDefault="00A278D1" w:rsidP="00A278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</w:pPr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>Программа состоит из 10 разделов, включающих задания, направленные на развитие умственных способностей:</w:t>
            </w:r>
          </w:p>
          <w:p w:rsidR="00A278D1" w:rsidRPr="00A278D1" w:rsidRDefault="00A278D1" w:rsidP="00A278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</w:pPr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>Ознакомление с пространственными отношениями.</w:t>
            </w:r>
          </w:p>
          <w:p w:rsidR="00A278D1" w:rsidRPr="00A278D1" w:rsidRDefault="00A278D1" w:rsidP="00A278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</w:pPr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>Развитие элементов логического мышления.</w:t>
            </w:r>
          </w:p>
          <w:p w:rsidR="00A278D1" w:rsidRPr="00A278D1" w:rsidRDefault="00A278D1" w:rsidP="00A278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</w:pPr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>Развитие речи и ознакомление с художественной литературой.</w:t>
            </w:r>
          </w:p>
          <w:p w:rsidR="00A278D1" w:rsidRPr="00A278D1" w:rsidRDefault="00A278D1" w:rsidP="00A278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</w:pPr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>Развитие элементарных математических представлений.</w:t>
            </w:r>
          </w:p>
          <w:p w:rsidR="00A278D1" w:rsidRPr="00A278D1" w:rsidRDefault="00A278D1" w:rsidP="00A278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</w:pPr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>Подготовка к обучению грамоте.</w:t>
            </w:r>
          </w:p>
          <w:p w:rsidR="00A278D1" w:rsidRPr="00A278D1" w:rsidRDefault="00A278D1" w:rsidP="00A278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</w:pPr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>Конструирование.</w:t>
            </w:r>
          </w:p>
          <w:p w:rsidR="00A278D1" w:rsidRPr="00A278D1" w:rsidRDefault="00A278D1" w:rsidP="00A278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</w:pPr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>Подготовка к сюжетно-ролевой игре.</w:t>
            </w:r>
          </w:p>
          <w:p w:rsidR="00A278D1" w:rsidRPr="00A278D1" w:rsidRDefault="00A278D1" w:rsidP="00A278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</w:pPr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>Ознакомление с природой.</w:t>
            </w:r>
          </w:p>
          <w:p w:rsidR="00A278D1" w:rsidRPr="00A278D1" w:rsidRDefault="00A278D1" w:rsidP="00A278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</w:pPr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>Ознакомление с элементарными физическими явлениями.</w:t>
            </w:r>
          </w:p>
          <w:p w:rsidR="00A278D1" w:rsidRPr="00A278D1" w:rsidRDefault="00A278D1" w:rsidP="00A278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</w:pPr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lastRenderedPageBreak/>
              <w:t>Изобразительное искусство.</w:t>
            </w:r>
          </w:p>
          <w:p w:rsidR="00A278D1" w:rsidRPr="00A278D1" w:rsidRDefault="00A278D1" w:rsidP="00A278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</w:pPr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>В программе не представлены занятия по музыке и физическому воспитанию, их необходимо проводить, но без акцента на задачу развития умственных способностей.</w:t>
            </w:r>
          </w:p>
          <w:p w:rsidR="00A278D1" w:rsidRPr="00A278D1" w:rsidRDefault="00A278D1" w:rsidP="00A278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</w:pPr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>Нельзя забывать, что одаренные дети остаются дошкольниками со всеми присущими возрасту психологическими особенностями, которые необходимо всячески поощрять, избегая "</w:t>
            </w:r>
            <w:proofErr w:type="spellStart"/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>овзросления</w:t>
            </w:r>
            <w:proofErr w:type="spellEnd"/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>" детей, на которое может наталкивать педагога высокий уровень умственного развития его воспитанников. Большая часть заданий дается детям в игровой, максимально привлекательной для них форме. Отношение взрослых к детям уважительное и доверительное. Воспитателю необходимо всячески поддерживать детскую инициативу, быть готовым изменить ход занятий в соответствии с ней. Следует помнить, что одаренный ребенок может оказаться "умнее" взрослого при выполнении того или иного задания, придумать свой способ решения задачи, не предусмотренный заранее, что требует от воспитателя особого внимания и гибкости во взаимоотношениях с одаренными детьми.</w:t>
            </w:r>
          </w:p>
          <w:p w:rsidR="00A278D1" w:rsidRPr="00A278D1" w:rsidRDefault="00A278D1" w:rsidP="00A278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</w:pPr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>К одаренным дошкольникам (так же, как и к дошкольникам вообще) неприменимы школьные требования и приемы обучения (соблюдение дисциплины, явное или скрытое проставление оценок и т. п.).</w:t>
            </w:r>
          </w:p>
          <w:p w:rsidR="00A278D1" w:rsidRPr="00A278D1" w:rsidRDefault="00A278D1" w:rsidP="00A278D1">
            <w:pPr>
              <w:spacing w:before="100" w:beforeAutospacing="1" w:after="100" w:afterAutospacing="1" w:line="15" w:lineRule="atLeast"/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</w:pPr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 xml:space="preserve">Важен и язык, на котором даются задания, комментируется ход их выполнения, анализируются полученные результаты: не следует "сюсюкать", приспосабливаться к речи детей, но не следует использовать и "взрослые" термины, на что может натолкнуть содержание некоторых занятий, особенно использование моделей. </w:t>
            </w:r>
            <w:proofErr w:type="gramStart"/>
            <w:r w:rsidRPr="00A278D1">
              <w:rPr>
                <w:rFonts w:ascii="Verdana" w:eastAsia="Times New Roman" w:hAnsi="Verdana" w:cs="Times New Roman"/>
                <w:color w:val="3B4F5E"/>
                <w:sz w:val="20"/>
                <w:szCs w:val="20"/>
              </w:rPr>
              <w:t>Не стоит употреблять такие слова, как "модель", "заместитель", "понятие", "род", "вид" и т. д.</w:t>
            </w:r>
            <w:proofErr w:type="gramEnd"/>
          </w:p>
        </w:tc>
      </w:tr>
      <w:tr w:rsidR="00A278D1" w:rsidRPr="00A278D1" w:rsidTr="00A278D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78D1" w:rsidRPr="00A278D1" w:rsidRDefault="00A278D1" w:rsidP="00A2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769C" w:rsidRDefault="0046769C"/>
    <w:sectPr w:rsidR="0046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ACF"/>
    <w:multiLevelType w:val="multilevel"/>
    <w:tmpl w:val="0136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8D1"/>
    <w:rsid w:val="0046769C"/>
    <w:rsid w:val="00A2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278D1"/>
    <w:rPr>
      <w:i/>
      <w:iCs/>
    </w:rPr>
  </w:style>
  <w:style w:type="character" w:customStyle="1" w:styleId="apple-converted-space">
    <w:name w:val="apple-converted-space"/>
    <w:basedOn w:val="a0"/>
    <w:rsid w:val="00A27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1461</Words>
  <Characters>8331</Characters>
  <Application>Microsoft Office Word</Application>
  <DocSecurity>0</DocSecurity>
  <Lines>69</Lines>
  <Paragraphs>19</Paragraphs>
  <ScaleCrop>false</ScaleCrop>
  <Company/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2013-02-16T12:05:00Z</dcterms:created>
  <dcterms:modified xsi:type="dcterms:W3CDTF">2013-02-16T12:05:00Z</dcterms:modified>
</cp:coreProperties>
</file>